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A3F" w:rsidRDefault="00DF2A3F" w:rsidP="001E67B9">
      <w:pPr>
        <w:pStyle w:val="Heading1"/>
      </w:pPr>
      <w:r>
        <w:t xml:space="preserve">The </w:t>
      </w:r>
      <w:proofErr w:type="spellStart"/>
      <w:r>
        <w:t>iTACTIC</w:t>
      </w:r>
      <w:proofErr w:type="spellEnd"/>
      <w:r>
        <w:t xml:space="preserve"> (implementing Treatment Algorithms for the Correction of Trauma Induced Coagulopathy) study primary publication</w:t>
      </w:r>
    </w:p>
    <w:p w:rsidR="00E83507" w:rsidRDefault="00E83507" w:rsidP="001E67B9">
      <w:pPr>
        <w:pStyle w:val="Heading2"/>
      </w:pPr>
    </w:p>
    <w:p w:rsidR="000A11ED" w:rsidRPr="000A11ED" w:rsidRDefault="000A11ED" w:rsidP="001E67B9">
      <w:pPr>
        <w:pStyle w:val="Heading2"/>
      </w:pPr>
      <w:r w:rsidRPr="000A11ED">
        <w:t>Introduction</w:t>
      </w:r>
    </w:p>
    <w:p w:rsidR="00DF2A3F" w:rsidRDefault="00DF2A3F" w:rsidP="00DF2A3F">
      <w:r>
        <w:t xml:space="preserve">Bleeding trauma patients are known to quickly develop a </w:t>
      </w:r>
      <w:r w:rsidR="00104BB9">
        <w:t>blood</w:t>
      </w:r>
      <w:r>
        <w:t xml:space="preserve"> abnormality referred to as Trauma induced coagulopathy (TIC). This is a disruption of blood clotting specific to trauma patients. Personalised blood transfusion for bleeding </w:t>
      </w:r>
      <w:r w:rsidR="00104BB9">
        <w:t xml:space="preserve">trauma </w:t>
      </w:r>
      <w:r>
        <w:t>patients may help to correct TIC.</w:t>
      </w:r>
    </w:p>
    <w:p w:rsidR="00DF2A3F" w:rsidRDefault="00DF2A3F" w:rsidP="00DF2A3F">
      <w:r>
        <w:t xml:space="preserve">Currently, when a bleeding trauma patient is admitted to hospital, the trauma clinicians follow a set of guidelines, referred to as the major haemorrhage protocol (MHP), which allow them to quickly access blood products </w:t>
      </w:r>
      <w:r w:rsidR="00104BB9">
        <w:t>to give the</w:t>
      </w:r>
      <w:r>
        <w:t xml:space="preserve"> patient. These come in prepared packs, and contain blood products that have been </w:t>
      </w:r>
      <w:r w:rsidR="000A11ED">
        <w:t>separated</w:t>
      </w:r>
      <w:r>
        <w:t xml:space="preserve"> out from whole blood. </w:t>
      </w:r>
    </w:p>
    <w:p w:rsidR="00DF2A3F" w:rsidRDefault="00DF2A3F" w:rsidP="00DF2A3F">
      <w:r>
        <w:t xml:space="preserve">Whole blood can be </w:t>
      </w:r>
      <w:r w:rsidR="000A11ED">
        <w:t>separated</w:t>
      </w:r>
      <w:r>
        <w:t xml:space="preserve"> into several different blood products:</w:t>
      </w:r>
    </w:p>
    <w:p w:rsidR="00DF2A3F" w:rsidRDefault="00DF2A3F" w:rsidP="00DF2A3F">
      <w:r>
        <w:t xml:space="preserve">Red blood cells </w:t>
      </w:r>
      <w:r w:rsidR="00104BB9">
        <w:t>–</w:t>
      </w:r>
      <w:r>
        <w:t xml:space="preserve"> </w:t>
      </w:r>
      <w:r w:rsidR="00104BB9">
        <w:t xml:space="preserve">carry </w:t>
      </w:r>
      <w:r>
        <w:t xml:space="preserve">oxygen around the body and provide the patient volume to </w:t>
      </w:r>
      <w:r w:rsidR="00104BB9">
        <w:t>fill-up</w:t>
      </w:r>
      <w:r>
        <w:t xml:space="preserve"> empty</w:t>
      </w:r>
      <w:r w:rsidR="00104BB9">
        <w:t xml:space="preserve"> or under filled</w:t>
      </w:r>
      <w:r>
        <w:t xml:space="preserve"> blood vessels.</w:t>
      </w:r>
    </w:p>
    <w:p w:rsidR="00DF2A3F" w:rsidRDefault="00DF2A3F" w:rsidP="00DF2A3F">
      <w:r>
        <w:t xml:space="preserve">Fresh frozen plasma (FFP) - provides some proteins that help with blood clotting and </w:t>
      </w:r>
      <w:r w:rsidR="00104BB9">
        <w:t xml:space="preserve">provide </w:t>
      </w:r>
      <w:r>
        <w:t xml:space="preserve">cell </w:t>
      </w:r>
      <w:proofErr w:type="gramStart"/>
      <w:r>
        <w:t>protection</w:t>
      </w:r>
      <w:proofErr w:type="gramEnd"/>
      <w:r>
        <w:t>, whilst also delivering volume</w:t>
      </w:r>
      <w:r w:rsidR="00104BB9">
        <w:t>.</w:t>
      </w:r>
    </w:p>
    <w:p w:rsidR="00DF2A3F" w:rsidRDefault="00DF2A3F" w:rsidP="00DF2A3F">
      <w:r>
        <w:t>Cryo</w:t>
      </w:r>
      <w:r w:rsidR="000A11ED">
        <w:t xml:space="preserve">precipitate </w:t>
      </w:r>
      <w:r w:rsidR="00104BB9">
        <w:t>–</w:t>
      </w:r>
      <w:r w:rsidR="000A11ED">
        <w:t xml:space="preserve"> </w:t>
      </w:r>
      <w:r w:rsidR="00104BB9">
        <w:t>is</w:t>
      </w:r>
      <w:r>
        <w:t xml:space="preserve"> rich in clotting proteins, especially fibrinogen which is key for making a strong blood clot. Our previous work has shown that fibrinogen levels rapidly decrease in bleeding trauma patients, and that replacing it early may help reduce mortality. </w:t>
      </w:r>
    </w:p>
    <w:p w:rsidR="00DF2A3F" w:rsidRDefault="00DF2A3F" w:rsidP="00DF2A3F">
      <w:r>
        <w:t xml:space="preserve">Platelets </w:t>
      </w:r>
      <w:r w:rsidR="00104BB9">
        <w:t>–</w:t>
      </w:r>
      <w:r>
        <w:t xml:space="preserve"> </w:t>
      </w:r>
      <w:r w:rsidR="00104BB9">
        <w:t xml:space="preserve">are </w:t>
      </w:r>
      <w:r>
        <w:t>tiny cell fragments which, when activated, change shape and stick together within a scaffold of f</w:t>
      </w:r>
      <w:r w:rsidR="000A11ED">
        <w:t>ibrinogen to form a blood clot.</w:t>
      </w:r>
    </w:p>
    <w:p w:rsidR="00DF2A3F" w:rsidRDefault="00DF2A3F" w:rsidP="00DF2A3F">
      <w:r>
        <w:t xml:space="preserve">By performing blood tests on </w:t>
      </w:r>
      <w:r w:rsidR="00104BB9">
        <w:t>a</w:t>
      </w:r>
      <w:r>
        <w:t xml:space="preserve"> patient, </w:t>
      </w:r>
      <w:r w:rsidR="00104BB9">
        <w:t>doctors</w:t>
      </w:r>
      <w:r>
        <w:t xml:space="preserve"> can tailor the blood products </w:t>
      </w:r>
      <w:r w:rsidR="00104BB9">
        <w:t>a</w:t>
      </w:r>
      <w:r>
        <w:t xml:space="preserve"> patient receives to what their body is lacking. They do this by using tests referred to as conventional coagulation tests (CCT). These CCTs look at the level of fibrinogen and number of platelets in the </w:t>
      </w:r>
      <w:r w:rsidR="00104BB9">
        <w:t>patients’</w:t>
      </w:r>
      <w:r>
        <w:t xml:space="preserve"> circulation, as well as a laboratory test which shows how quickly the</w:t>
      </w:r>
      <w:r w:rsidR="000A11ED">
        <w:t>ir blood can make a blood clot.</w:t>
      </w:r>
    </w:p>
    <w:p w:rsidR="00DF2A3F" w:rsidRDefault="00DF2A3F" w:rsidP="00DF2A3F">
      <w:r>
        <w:t xml:space="preserve">Another way of investigating blood clotting is by using a rotational </w:t>
      </w:r>
      <w:proofErr w:type="spellStart"/>
      <w:r>
        <w:t>thromboelastometry</w:t>
      </w:r>
      <w:proofErr w:type="spellEnd"/>
      <w:r>
        <w:t xml:space="preserve"> (ROTEM) or </w:t>
      </w:r>
      <w:proofErr w:type="spellStart"/>
      <w:r>
        <w:t>thromboelastography</w:t>
      </w:r>
      <w:proofErr w:type="spellEnd"/>
      <w:r>
        <w:t xml:space="preserve"> (TEG). These are both types of viscoelastic haemostatic assays (VHA). A blood sample taken from a patient can be analysed </w:t>
      </w:r>
      <w:r w:rsidR="00104BB9">
        <w:t xml:space="preserve">within minutes </w:t>
      </w:r>
      <w:r>
        <w:t xml:space="preserve">to see the time it takes the blood to clot, and how much fibrinogen and platelets are in the blood clot. </w:t>
      </w:r>
    </w:p>
    <w:p w:rsidR="00104BB9" w:rsidRDefault="00104BB9" w:rsidP="00DF2A3F">
      <w:r>
        <w:t>Both CCT and VHA test results can then be checked against expected ranges and if below normal can trigger a doctor to order the specific blood product to correct this deficit (the treatment algorithms).</w:t>
      </w:r>
    </w:p>
    <w:p w:rsidR="00DF2A3F" w:rsidRPr="000A11ED" w:rsidRDefault="000A11ED" w:rsidP="001E67B9">
      <w:pPr>
        <w:pStyle w:val="Heading2"/>
      </w:pPr>
      <w:r w:rsidRPr="000A11ED">
        <w:t>Aim</w:t>
      </w:r>
    </w:p>
    <w:p w:rsidR="002C3E70" w:rsidRDefault="002C3E70" w:rsidP="002C3E70">
      <w:proofErr w:type="spellStart"/>
      <w:r>
        <w:t>iTACTIC</w:t>
      </w:r>
      <w:proofErr w:type="spellEnd"/>
      <w:r>
        <w:t xml:space="preserve"> was designed to investigate whether trauma patients, who were displaying a bleeding abnormality (known as being coagulopathic), had better outcomes if they received personalised blood transfusions guided by CCT or VHA treatment algorithms.</w:t>
      </w:r>
    </w:p>
    <w:p w:rsidR="00201FE1" w:rsidRDefault="00201FE1" w:rsidP="00201FE1">
      <w:pPr>
        <w:pStyle w:val="Heading2"/>
      </w:pPr>
      <w:bookmarkStart w:id="0" w:name="_GoBack"/>
      <w:bookmarkEnd w:id="0"/>
      <w:r>
        <w:t>Hypothesis</w:t>
      </w:r>
    </w:p>
    <w:p w:rsidR="00DF2A3F" w:rsidRDefault="00DF2A3F" w:rsidP="00DF2A3F">
      <w:r>
        <w:t>The team hypothesized that personalising blood transfusion using VHA technology would improve survival and reduce the need for ten or more units of red blood cells to be transfused in the first 24 h after injury (referre</w:t>
      </w:r>
      <w:r w:rsidR="000A11ED">
        <w:t>d to as a massive transfusion).</w:t>
      </w:r>
    </w:p>
    <w:p w:rsidR="00DF2A3F" w:rsidRPr="000A11ED" w:rsidRDefault="00DF2A3F" w:rsidP="001E67B9">
      <w:pPr>
        <w:pStyle w:val="Heading2"/>
      </w:pPr>
      <w:r w:rsidRPr="000A11ED">
        <w:lastRenderedPageBreak/>
        <w:t>Patients included</w:t>
      </w:r>
    </w:p>
    <w:p w:rsidR="00DF2A3F" w:rsidRDefault="00DF2A3F" w:rsidP="00DF2A3F">
      <w:r>
        <w:t>Adult trauma patients were enrolled if the doctors thought they were bleeding, had given the patient a transfusion of red blood cells and were going to treat the patient according to the MHP. The patient also had to be included within three hours of their injury occurring, and one hour of admission to the emergency department.</w:t>
      </w:r>
    </w:p>
    <w:p w:rsidR="00DF2A3F" w:rsidRPr="000A11ED" w:rsidRDefault="009F55CF" w:rsidP="001E67B9">
      <w:pPr>
        <w:pStyle w:val="Heading2"/>
      </w:pPr>
      <w:r w:rsidRPr="000A11ED">
        <w:t>Consent</w:t>
      </w:r>
    </w:p>
    <w:p w:rsidR="00DF2A3F" w:rsidRDefault="00DF2A3F" w:rsidP="00DF2A3F">
      <w:r>
        <w:t>Consent for inclusion in to the trial was initially provided by a nominated consultee,</w:t>
      </w:r>
      <w:r w:rsidR="009F55CF">
        <w:t xml:space="preserve"> </w:t>
      </w:r>
      <w:r>
        <w:t>usually an independent doctor i</w:t>
      </w:r>
      <w:r w:rsidR="000A11ED">
        <w:t>n charge of the patients’ care.</w:t>
      </w:r>
    </w:p>
    <w:p w:rsidR="00DF2A3F" w:rsidRPr="000A11ED" w:rsidRDefault="00DF2A3F" w:rsidP="001E67B9">
      <w:pPr>
        <w:pStyle w:val="Heading2"/>
      </w:pPr>
      <w:r w:rsidRPr="000A11ED">
        <w:t>Procedures</w:t>
      </w:r>
    </w:p>
    <w:p w:rsidR="00DF2A3F" w:rsidRDefault="00DF2A3F" w:rsidP="00DF2A3F">
      <w:r>
        <w:t xml:space="preserve">All patients received the standard MHP, plus TXA – a drug that stops blood clot breakdown and limited </w:t>
      </w:r>
      <w:r w:rsidR="009F55CF">
        <w:t xml:space="preserve">use of </w:t>
      </w:r>
      <w:r>
        <w:t>saline fluid.</w:t>
      </w:r>
    </w:p>
    <w:p w:rsidR="00DF2A3F" w:rsidRDefault="00DF2A3F" w:rsidP="00DF2A3F">
      <w:r>
        <w:t>In both groups, blood samples were taken for analysis after</w:t>
      </w:r>
      <w:r w:rsidR="009F55CF">
        <w:t xml:space="preserve"> enrolment and then again </w:t>
      </w:r>
      <w:r>
        <w:t xml:space="preserve">after every four units of RBCs until the patient </w:t>
      </w:r>
      <w:r w:rsidR="00F30784">
        <w:t xml:space="preserve">stopped </w:t>
      </w:r>
      <w:r>
        <w:t>bleeding (haemostasis).</w:t>
      </w:r>
    </w:p>
    <w:p w:rsidR="00DF2A3F" w:rsidRPr="000A11ED" w:rsidRDefault="00DF2A3F" w:rsidP="001E67B9">
      <w:pPr>
        <w:pStyle w:val="Heading2"/>
      </w:pPr>
      <w:r w:rsidRPr="000A11ED">
        <w:t>Outcomes</w:t>
      </w:r>
    </w:p>
    <w:p w:rsidR="00DF2A3F" w:rsidRDefault="00DF2A3F" w:rsidP="00DF2A3F">
      <w:r>
        <w:t>The primary outcome of this study was the proportion</w:t>
      </w:r>
      <w:r w:rsidR="009F55CF">
        <w:t xml:space="preserve"> </w:t>
      </w:r>
      <w:r>
        <w:t>of subjects who</w:t>
      </w:r>
      <w:r w:rsidR="009F55CF">
        <w:t xml:space="preserve"> </w:t>
      </w:r>
      <w:r>
        <w:t>were alive and free</w:t>
      </w:r>
      <w:r w:rsidR="009F55CF">
        <w:t xml:space="preserve"> </w:t>
      </w:r>
      <w:r>
        <w:t>of massive transfusion</w:t>
      </w:r>
      <w:r w:rsidR="009F55CF">
        <w:t xml:space="preserve"> 24 h after their injury</w:t>
      </w:r>
      <w:r>
        <w:t>. Secondary endpoints included:</w:t>
      </w:r>
    </w:p>
    <w:p w:rsidR="00DF2A3F" w:rsidRDefault="009F55CF" w:rsidP="009F55CF">
      <w:pPr>
        <w:pStyle w:val="ListParagraph"/>
        <w:numPr>
          <w:ilvl w:val="0"/>
          <w:numId w:val="1"/>
        </w:numPr>
      </w:pPr>
      <w:r>
        <w:t>survival</w:t>
      </w:r>
      <w:r w:rsidR="00DF2A3F">
        <w:t xml:space="preserve"> at 6 h, 24 h, 28 days, and 90 days</w:t>
      </w:r>
      <w:r>
        <w:t xml:space="preserve"> after injury</w:t>
      </w:r>
    </w:p>
    <w:p w:rsidR="009F55CF" w:rsidRDefault="00DF2A3F" w:rsidP="009F55CF">
      <w:pPr>
        <w:pStyle w:val="ListParagraph"/>
        <w:numPr>
          <w:ilvl w:val="0"/>
          <w:numId w:val="1"/>
        </w:numPr>
      </w:pPr>
      <w:r>
        <w:t>total blood components</w:t>
      </w:r>
      <w:r w:rsidR="009F55CF">
        <w:t xml:space="preserve"> usage</w:t>
      </w:r>
    </w:p>
    <w:p w:rsidR="009F55CF" w:rsidRDefault="009F55CF" w:rsidP="009F55CF">
      <w:pPr>
        <w:pStyle w:val="ListParagraph"/>
        <w:numPr>
          <w:ilvl w:val="0"/>
          <w:numId w:val="1"/>
        </w:numPr>
      </w:pPr>
      <w:r>
        <w:t>ventilator use</w:t>
      </w:r>
    </w:p>
    <w:p w:rsidR="009F55CF" w:rsidRDefault="009F55CF" w:rsidP="009F55CF">
      <w:pPr>
        <w:pStyle w:val="ListParagraph"/>
        <w:numPr>
          <w:ilvl w:val="0"/>
          <w:numId w:val="1"/>
        </w:numPr>
      </w:pPr>
      <w:r>
        <w:t xml:space="preserve">length of time spent on the </w:t>
      </w:r>
      <w:r w:rsidR="00DF2A3F">
        <w:t>intensive care unit (ICU</w:t>
      </w:r>
      <w:r>
        <w:t>)</w:t>
      </w:r>
    </w:p>
    <w:p w:rsidR="009F55CF" w:rsidRDefault="00DF2A3F" w:rsidP="00363173">
      <w:pPr>
        <w:pStyle w:val="ListParagraph"/>
        <w:numPr>
          <w:ilvl w:val="0"/>
          <w:numId w:val="1"/>
        </w:numPr>
      </w:pPr>
      <w:r>
        <w:t>total</w:t>
      </w:r>
      <w:r w:rsidR="009F55CF">
        <w:t xml:space="preserve"> length of time spent in </w:t>
      </w:r>
      <w:r>
        <w:t xml:space="preserve">hospital </w:t>
      </w:r>
    </w:p>
    <w:p w:rsidR="000C7274" w:rsidRDefault="00DF2A3F" w:rsidP="00067412">
      <w:pPr>
        <w:pStyle w:val="ListParagraph"/>
        <w:numPr>
          <w:ilvl w:val="0"/>
          <w:numId w:val="1"/>
        </w:numPr>
      </w:pPr>
      <w:r>
        <w:t>the proportion of patients</w:t>
      </w:r>
      <w:r w:rsidR="009F55CF">
        <w:t xml:space="preserve"> </w:t>
      </w:r>
      <w:r w:rsidR="000C7274">
        <w:t>who</w:t>
      </w:r>
    </w:p>
    <w:p w:rsidR="000C7274" w:rsidRDefault="000C7274" w:rsidP="000C7274">
      <w:pPr>
        <w:pStyle w:val="ListParagraph"/>
        <w:numPr>
          <w:ilvl w:val="1"/>
          <w:numId w:val="1"/>
        </w:numPr>
      </w:pPr>
      <w:r>
        <w:t>had</w:t>
      </w:r>
      <w:r w:rsidR="00DF2A3F">
        <w:t xml:space="preserve"> </w:t>
      </w:r>
      <w:r>
        <w:t>a</w:t>
      </w:r>
      <w:r w:rsidR="009F55CF">
        <w:t xml:space="preserve"> blood </w:t>
      </w:r>
      <w:r>
        <w:t>clot after</w:t>
      </w:r>
      <w:r w:rsidR="00F30784">
        <w:t xml:space="preserve"> they stopped</w:t>
      </w:r>
      <w:r>
        <w:t xml:space="preserve"> bleeding</w:t>
      </w:r>
    </w:p>
    <w:p w:rsidR="000C7274" w:rsidRDefault="000C7274" w:rsidP="000C7274">
      <w:pPr>
        <w:pStyle w:val="ListParagraph"/>
        <w:numPr>
          <w:ilvl w:val="1"/>
          <w:numId w:val="1"/>
        </w:numPr>
      </w:pPr>
      <w:r>
        <w:t xml:space="preserve">developed </w:t>
      </w:r>
      <w:r w:rsidR="00DF2A3F">
        <w:t>multiple</w:t>
      </w:r>
      <w:r>
        <w:t xml:space="preserve"> organ dysfunction</w:t>
      </w:r>
    </w:p>
    <w:p w:rsidR="00DF2A3F" w:rsidRDefault="000C7274" w:rsidP="000C7274">
      <w:pPr>
        <w:pStyle w:val="ListParagraph"/>
        <w:numPr>
          <w:ilvl w:val="1"/>
          <w:numId w:val="1"/>
        </w:numPr>
      </w:pPr>
      <w:r>
        <w:t>had a serious adverse event</w:t>
      </w:r>
    </w:p>
    <w:p w:rsidR="00DF2A3F" w:rsidRPr="000A11ED" w:rsidRDefault="00DF2A3F" w:rsidP="001E67B9">
      <w:pPr>
        <w:pStyle w:val="Heading2"/>
      </w:pPr>
      <w:r w:rsidRPr="000A11ED">
        <w:t>Results</w:t>
      </w:r>
    </w:p>
    <w:p w:rsidR="00DF2A3F" w:rsidRDefault="00DF2A3F" w:rsidP="00DF2A3F">
      <w:r>
        <w:t xml:space="preserve">396 patients </w:t>
      </w:r>
      <w:r w:rsidR="00F30784">
        <w:t xml:space="preserve">were </w:t>
      </w:r>
      <w:r>
        <w:t xml:space="preserve">included in </w:t>
      </w:r>
      <w:r w:rsidR="000A11ED">
        <w:t xml:space="preserve">the </w:t>
      </w:r>
      <w:r>
        <w:t>analys</w:t>
      </w:r>
      <w:r w:rsidR="00F30784">
        <w:t>is</w:t>
      </w:r>
      <w:r w:rsidR="000A11ED">
        <w:t xml:space="preserve">. Two thirds of these patients had a blunt injury and were </w:t>
      </w:r>
      <w:r>
        <w:t xml:space="preserve">classified as </w:t>
      </w:r>
      <w:r w:rsidR="000A11ED">
        <w:t>being severely</w:t>
      </w:r>
      <w:r>
        <w:t xml:space="preserve"> injured</w:t>
      </w:r>
      <w:r w:rsidR="000A11ED">
        <w:t>. The average i</w:t>
      </w:r>
      <w:r>
        <w:t>njury to admission time was 69</w:t>
      </w:r>
      <w:r w:rsidR="000A11ED">
        <w:t xml:space="preserve"> </w:t>
      </w:r>
      <w:r>
        <w:t>mins</w:t>
      </w:r>
      <w:r w:rsidR="000A11ED">
        <w:t>, and patients received an a</w:t>
      </w:r>
      <w:r>
        <w:t xml:space="preserve">verage </w:t>
      </w:r>
      <w:r w:rsidR="000A11ED">
        <w:t xml:space="preserve">of two red blood cell </w:t>
      </w:r>
      <w:r>
        <w:t>transfusion</w:t>
      </w:r>
      <w:r w:rsidR="000A11ED">
        <w:t xml:space="preserve">s before being </w:t>
      </w:r>
      <w:r>
        <w:t>enrol</w:t>
      </w:r>
      <w:r w:rsidR="000A11ED">
        <w:t>led.</w:t>
      </w:r>
    </w:p>
    <w:p w:rsidR="00DF2A3F" w:rsidRDefault="000A11ED" w:rsidP="00DF2A3F">
      <w:r>
        <w:t xml:space="preserve">Patients were equally allocated to either the VHA or CCT treatment arms. </w:t>
      </w:r>
      <w:r w:rsidR="00DF2A3F">
        <w:t>67% of VHA patients received an intervention</w:t>
      </w:r>
      <w:r>
        <w:t xml:space="preserve"> whereas only </w:t>
      </w:r>
      <w:r w:rsidR="00DF2A3F">
        <w:t xml:space="preserve">36% of CCT received </w:t>
      </w:r>
      <w:r>
        <w:t xml:space="preserve">a trial guided blood product. Blood products were given ~20 mins earlier in the VHA </w:t>
      </w:r>
      <w:r w:rsidR="00DF2A3F">
        <w:t>arm</w:t>
      </w:r>
      <w:r w:rsidR="00F30784">
        <w:t xml:space="preserve"> compared to the CCT arm</w:t>
      </w:r>
      <w:r>
        <w:t xml:space="preserve">, and </w:t>
      </w:r>
      <w:r w:rsidR="00F30784">
        <w:t xml:space="preserve">64% </w:t>
      </w:r>
      <w:r>
        <w:t xml:space="preserve">of </w:t>
      </w:r>
      <w:r w:rsidR="00F30784">
        <w:t xml:space="preserve">the </w:t>
      </w:r>
      <w:r>
        <w:t>participants</w:t>
      </w:r>
      <w:r w:rsidR="00F30784">
        <w:t xml:space="preserve"> in the VHA arm</w:t>
      </w:r>
      <w:r>
        <w:t xml:space="preserve"> received a trial blood transfusion </w:t>
      </w:r>
      <w:r w:rsidR="00DF2A3F">
        <w:t>within 3hrs</w:t>
      </w:r>
      <w:r w:rsidR="002C3E70">
        <w:t xml:space="preserve"> of injury</w:t>
      </w:r>
      <w:r w:rsidR="00DF2A3F">
        <w:t xml:space="preserve">, vs </w:t>
      </w:r>
      <w:r>
        <w:t xml:space="preserve">just </w:t>
      </w:r>
      <w:r w:rsidR="00DF2A3F">
        <w:t>45% in CCT</w:t>
      </w:r>
      <w:r>
        <w:t xml:space="preserve"> arm of the trial.</w:t>
      </w:r>
    </w:p>
    <w:p w:rsidR="00701972" w:rsidRDefault="00864CD0" w:rsidP="00701972">
      <w:r>
        <w:t>From the baseline blood sample to the patient stopping bleeding</w:t>
      </w:r>
      <w:r w:rsidR="002501DA">
        <w:t>,</w:t>
      </w:r>
      <w:r>
        <w:t xml:space="preserve"> </w:t>
      </w:r>
      <w:r w:rsidR="001E67B9">
        <w:t>patients</w:t>
      </w:r>
      <w:r>
        <w:t xml:space="preserve"> in both arms of the trial received on average </w:t>
      </w:r>
      <w:r w:rsidR="002501DA">
        <w:t xml:space="preserve">of </w:t>
      </w:r>
      <w:r>
        <w:t xml:space="preserve">three red blood cell transfusions and four FFP transfusions. </w:t>
      </w:r>
      <w:r w:rsidR="00701972">
        <w:t>Patients in the VHA arm were allocated to receive more fibrinogen products, equivalent to four grams of fibrinogen in the VHA or 0g in the CCT arm.</w:t>
      </w:r>
    </w:p>
    <w:p w:rsidR="00DF2A3F" w:rsidRDefault="00DF2A3F" w:rsidP="00DF2A3F">
      <w:r>
        <w:t>At 24 h after injury,</w:t>
      </w:r>
      <w:r w:rsidR="006C1704">
        <w:t xml:space="preserve"> there was no difference in th</w:t>
      </w:r>
      <w:r>
        <w:t>e proportion of patients who were</w:t>
      </w:r>
      <w:r w:rsidR="006C1704">
        <w:t xml:space="preserve"> </w:t>
      </w:r>
      <w:r>
        <w:t>alive and free of massive transfusion</w:t>
      </w:r>
      <w:r w:rsidR="006C1704">
        <w:t xml:space="preserve"> regardless of whether patients received VHA or CCT supplemented treatment.</w:t>
      </w:r>
    </w:p>
    <w:p w:rsidR="00DF2A3F" w:rsidRDefault="006C1704" w:rsidP="006C1704">
      <w:r>
        <w:lastRenderedPageBreak/>
        <w:t xml:space="preserve">There were </w:t>
      </w:r>
      <w:r w:rsidR="00DF2A3F">
        <w:t>no statistically significant differences</w:t>
      </w:r>
      <w:r>
        <w:t xml:space="preserve"> </w:t>
      </w:r>
      <w:r w:rsidR="00DF2A3F">
        <w:t>in</w:t>
      </w:r>
      <w:r>
        <w:t xml:space="preserve"> any of</w:t>
      </w:r>
      <w:r w:rsidR="00DF2A3F">
        <w:t xml:space="preserve"> other secondary outcomes between the two study</w:t>
      </w:r>
      <w:r>
        <w:t xml:space="preserve"> arms.</w:t>
      </w:r>
    </w:p>
    <w:p w:rsidR="00DF2A3F" w:rsidRDefault="006C1704" w:rsidP="00DF2A3F">
      <w:r>
        <w:t xml:space="preserve">However, when researchers looked at a </w:t>
      </w:r>
      <w:r w:rsidR="00DF2A3F">
        <w:t>subgroup of 74 patients who</w:t>
      </w:r>
      <w:r>
        <w:t xml:space="preserve"> had a severe traumatic brain in</w:t>
      </w:r>
      <w:r w:rsidR="00B35EF0">
        <w:t xml:space="preserve">jury (TBI), 64% of patients in </w:t>
      </w:r>
      <w:r w:rsidR="00DF2A3F">
        <w:t>the VHA arm were alive and free of massive transfusion</w:t>
      </w:r>
      <w:r>
        <w:t xml:space="preserve"> 24 hours after injur</w:t>
      </w:r>
      <w:r w:rsidR="002501DA">
        <w:t>y</w:t>
      </w:r>
      <w:r>
        <w:t xml:space="preserve"> compared to 46%</w:t>
      </w:r>
      <w:r w:rsidR="00DF2A3F">
        <w:t xml:space="preserve"> in the CCT</w:t>
      </w:r>
      <w:r w:rsidR="002501DA">
        <w:t xml:space="preserve"> arm</w:t>
      </w:r>
      <w:r>
        <w:t>.</w:t>
      </w:r>
    </w:p>
    <w:p w:rsidR="00DF2A3F" w:rsidRPr="004132BD" w:rsidRDefault="00DF2A3F" w:rsidP="001E67B9">
      <w:pPr>
        <w:pStyle w:val="Heading2"/>
      </w:pPr>
      <w:r w:rsidRPr="004132BD">
        <w:t>Discussion</w:t>
      </w:r>
    </w:p>
    <w:p w:rsidR="00DF2A3F" w:rsidRDefault="004132BD" w:rsidP="00DF2A3F">
      <w:r>
        <w:t>This</w:t>
      </w:r>
      <w:r w:rsidR="00DF2A3F">
        <w:t xml:space="preserve"> trial </w:t>
      </w:r>
      <w:r>
        <w:t>compared</w:t>
      </w:r>
      <w:r w:rsidR="00DF2A3F">
        <w:t xml:space="preserve"> </w:t>
      </w:r>
      <w:r>
        <w:t>the ability of CCT versus VHA to personalise blood transfusion for bleeding trauma patients.</w:t>
      </w:r>
      <w:r w:rsidR="00DF2A3F">
        <w:t xml:space="preserve"> </w:t>
      </w:r>
      <w:r>
        <w:t>The team saw</w:t>
      </w:r>
      <w:r w:rsidR="00DF2A3F">
        <w:t xml:space="preserve"> no difference overall in primary or secondary</w:t>
      </w:r>
      <w:r>
        <w:t xml:space="preserve"> outcomes between CCT and VHA </w:t>
      </w:r>
      <w:r w:rsidR="00DF2A3F">
        <w:t xml:space="preserve">guided </w:t>
      </w:r>
      <w:r>
        <w:t>blood transfusion</w:t>
      </w:r>
      <w:r w:rsidR="00DF2A3F">
        <w:t xml:space="preserve">. </w:t>
      </w:r>
    </w:p>
    <w:p w:rsidR="00DF2A3F" w:rsidRDefault="00DF2A3F" w:rsidP="00DF2A3F">
      <w:r>
        <w:t>While this study aimed to explore the effect of VHA</w:t>
      </w:r>
      <w:r w:rsidR="004132BD">
        <w:t xml:space="preserve"> </w:t>
      </w:r>
      <w:r>
        <w:t>directed</w:t>
      </w:r>
      <w:r w:rsidR="004132BD">
        <w:t xml:space="preserve"> </w:t>
      </w:r>
      <w:r>
        <w:t>assessment and treatment of coagulopathy in</w:t>
      </w:r>
      <w:r w:rsidR="004132BD">
        <w:t xml:space="preserve"> </w:t>
      </w:r>
      <w:r>
        <w:t xml:space="preserve">trauma patients, </w:t>
      </w:r>
      <w:r w:rsidR="003054E6">
        <w:t xml:space="preserve">the prevalence of </w:t>
      </w:r>
      <w:r>
        <w:t>coagulopathy</w:t>
      </w:r>
      <w:r w:rsidR="004132BD">
        <w:t xml:space="preserve"> </w:t>
      </w:r>
      <w:r w:rsidR="003054E6">
        <w:t xml:space="preserve">in the patients recruited </w:t>
      </w:r>
      <w:r>
        <w:t>was lower than expected. Nearly three quarters of</w:t>
      </w:r>
      <w:r w:rsidR="004132BD">
        <w:t xml:space="preserve"> </w:t>
      </w:r>
      <w:r>
        <w:t>the patients were not coagulopathic at baseline</w:t>
      </w:r>
      <w:r w:rsidR="004132BD">
        <w:t xml:space="preserve"> </w:t>
      </w:r>
      <w:r>
        <w:t>and very few subsequently developed</w:t>
      </w:r>
      <w:r w:rsidR="004132BD">
        <w:t xml:space="preserve"> </w:t>
      </w:r>
      <w:r w:rsidR="005612CC">
        <w:t>coagulopathy.</w:t>
      </w:r>
    </w:p>
    <w:p w:rsidR="00DF2A3F" w:rsidRDefault="00DF2A3F" w:rsidP="00DF2A3F">
      <w:r>
        <w:t xml:space="preserve">The reduction in 28-day mortality </w:t>
      </w:r>
      <w:r w:rsidR="002C3E70">
        <w:t xml:space="preserve">in coagulopathic patients with a severe brain injury who received </w:t>
      </w:r>
      <w:r w:rsidR="002501DA">
        <w:t xml:space="preserve">seen </w:t>
      </w:r>
      <w:r>
        <w:t xml:space="preserve">VHA </w:t>
      </w:r>
      <w:r w:rsidR="002C3E70">
        <w:t xml:space="preserve">guided blood transfusion </w:t>
      </w:r>
      <w:r>
        <w:t>was unexpected</w:t>
      </w:r>
      <w:r w:rsidR="00181533">
        <w:t xml:space="preserve"> </w:t>
      </w:r>
      <w:r>
        <w:t xml:space="preserve">and </w:t>
      </w:r>
      <w:r w:rsidR="00181533">
        <w:t xml:space="preserve">may have </w:t>
      </w:r>
      <w:r w:rsidR="002C3E70">
        <w:t>occurred</w:t>
      </w:r>
      <w:r w:rsidR="00181533">
        <w:t xml:space="preserve"> </w:t>
      </w:r>
      <w:r w:rsidR="002501DA">
        <w:t>due to chance</w:t>
      </w:r>
      <w:r w:rsidR="00181533">
        <w:t>. However, other studies have also shown that managing</w:t>
      </w:r>
      <w:r>
        <w:t xml:space="preserve"> coagulopathy </w:t>
      </w:r>
      <w:r w:rsidR="00181533">
        <w:t xml:space="preserve">in patients with a brain injury may improve survival. </w:t>
      </w:r>
      <w:r>
        <w:t xml:space="preserve"> </w:t>
      </w:r>
      <w:r w:rsidR="00181533">
        <w:t>Further investigati</w:t>
      </w:r>
      <w:r w:rsidR="002501DA">
        <w:t xml:space="preserve">on of </w:t>
      </w:r>
      <w:r w:rsidR="00181533">
        <w:t xml:space="preserve">this phenomena will form the basis of </w:t>
      </w:r>
      <w:r>
        <w:t xml:space="preserve">future </w:t>
      </w:r>
      <w:r w:rsidR="00181533">
        <w:t>work within the group.</w:t>
      </w:r>
    </w:p>
    <w:p w:rsidR="00DF2A3F" w:rsidRPr="00181533" w:rsidRDefault="00DF2A3F" w:rsidP="001E67B9">
      <w:pPr>
        <w:pStyle w:val="Heading2"/>
      </w:pPr>
      <w:r w:rsidRPr="00181533">
        <w:t>Take</w:t>
      </w:r>
      <w:r w:rsidRPr="00181533">
        <w:rPr>
          <w:rFonts w:ascii="Cambria Math" w:hAnsi="Cambria Math" w:cs="Cambria Math"/>
        </w:rPr>
        <w:t>‑</w:t>
      </w:r>
      <w:r w:rsidRPr="00181533">
        <w:t>home message</w:t>
      </w:r>
      <w:r w:rsidR="00181533">
        <w:t xml:space="preserve"> </w:t>
      </w:r>
    </w:p>
    <w:p w:rsidR="009F3DB4" w:rsidRDefault="00DF2A3F" w:rsidP="00DF2A3F">
      <w:r>
        <w:t xml:space="preserve">When </w:t>
      </w:r>
      <w:r w:rsidR="00181533">
        <w:t>the MHP is used to</w:t>
      </w:r>
      <w:r>
        <w:t xml:space="preserve"> </w:t>
      </w:r>
      <w:r w:rsidR="00181533">
        <w:t>deliver</w:t>
      </w:r>
      <w:r>
        <w:t xml:space="preserve"> </w:t>
      </w:r>
      <w:r w:rsidR="00181533">
        <w:t>blood transfusion in bleeding trauma patients</w:t>
      </w:r>
      <w:r>
        <w:t xml:space="preserve"> </w:t>
      </w:r>
      <w:r w:rsidR="00181533">
        <w:t>using VHA</w:t>
      </w:r>
      <w:r w:rsidR="002C3E70">
        <w:t xml:space="preserve"> to personalise blood transfusions</w:t>
      </w:r>
      <w:r w:rsidR="00181533">
        <w:t xml:space="preserve"> </w:t>
      </w:r>
      <w:r>
        <w:t xml:space="preserve">did not improve clinical outcomes </w:t>
      </w:r>
      <w:r w:rsidR="00181533">
        <w:t>when compared to CCT interventions</w:t>
      </w:r>
      <w:r>
        <w:t>.</w:t>
      </w:r>
    </w:p>
    <w:sectPr w:rsidR="009F3D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46D2"/>
    <w:multiLevelType w:val="hybridMultilevel"/>
    <w:tmpl w:val="454CC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A3F"/>
    <w:rsid w:val="000A11ED"/>
    <w:rsid w:val="000C7274"/>
    <w:rsid w:val="00104BB9"/>
    <w:rsid w:val="00181533"/>
    <w:rsid w:val="001E67B9"/>
    <w:rsid w:val="00201FE1"/>
    <w:rsid w:val="002501DA"/>
    <w:rsid w:val="002C3E70"/>
    <w:rsid w:val="003054E6"/>
    <w:rsid w:val="00314986"/>
    <w:rsid w:val="004132BD"/>
    <w:rsid w:val="005612CC"/>
    <w:rsid w:val="0062066D"/>
    <w:rsid w:val="006C1704"/>
    <w:rsid w:val="00701972"/>
    <w:rsid w:val="00864CD0"/>
    <w:rsid w:val="009F3DB4"/>
    <w:rsid w:val="009F55CF"/>
    <w:rsid w:val="00A879F2"/>
    <w:rsid w:val="00B35EF0"/>
    <w:rsid w:val="00DF2A3F"/>
    <w:rsid w:val="00E83507"/>
    <w:rsid w:val="00F30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59339"/>
  <w15:chartTrackingRefBased/>
  <w15:docId w15:val="{62C97C7E-8152-4028-8634-1221D9FF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E67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67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5CF"/>
    <w:pPr>
      <w:ind w:left="720"/>
      <w:contextualSpacing/>
    </w:pPr>
  </w:style>
  <w:style w:type="character" w:customStyle="1" w:styleId="Heading1Char">
    <w:name w:val="Heading 1 Char"/>
    <w:basedOn w:val="DefaultParagraphFont"/>
    <w:link w:val="Heading1"/>
    <w:uiPriority w:val="9"/>
    <w:rsid w:val="001E67B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67B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F30784"/>
    <w:rPr>
      <w:sz w:val="16"/>
      <w:szCs w:val="16"/>
    </w:rPr>
  </w:style>
  <w:style w:type="paragraph" w:styleId="CommentText">
    <w:name w:val="annotation text"/>
    <w:basedOn w:val="Normal"/>
    <w:link w:val="CommentTextChar"/>
    <w:uiPriority w:val="99"/>
    <w:semiHidden/>
    <w:unhideWhenUsed/>
    <w:rsid w:val="00F30784"/>
    <w:pPr>
      <w:spacing w:line="240" w:lineRule="auto"/>
    </w:pPr>
    <w:rPr>
      <w:sz w:val="20"/>
      <w:szCs w:val="20"/>
    </w:rPr>
  </w:style>
  <w:style w:type="character" w:customStyle="1" w:styleId="CommentTextChar">
    <w:name w:val="Comment Text Char"/>
    <w:basedOn w:val="DefaultParagraphFont"/>
    <w:link w:val="CommentText"/>
    <w:uiPriority w:val="99"/>
    <w:semiHidden/>
    <w:rsid w:val="00F30784"/>
    <w:rPr>
      <w:sz w:val="20"/>
      <w:szCs w:val="20"/>
    </w:rPr>
  </w:style>
  <w:style w:type="paragraph" w:styleId="CommentSubject">
    <w:name w:val="annotation subject"/>
    <w:basedOn w:val="CommentText"/>
    <w:next w:val="CommentText"/>
    <w:link w:val="CommentSubjectChar"/>
    <w:uiPriority w:val="99"/>
    <w:semiHidden/>
    <w:unhideWhenUsed/>
    <w:rsid w:val="00F30784"/>
    <w:rPr>
      <w:b/>
      <w:bCs/>
    </w:rPr>
  </w:style>
  <w:style w:type="character" w:customStyle="1" w:styleId="CommentSubjectChar">
    <w:name w:val="Comment Subject Char"/>
    <w:basedOn w:val="CommentTextChar"/>
    <w:link w:val="CommentSubject"/>
    <w:uiPriority w:val="99"/>
    <w:semiHidden/>
    <w:rsid w:val="00F30784"/>
    <w:rPr>
      <w:b/>
      <w:bCs/>
      <w:sz w:val="20"/>
      <w:szCs w:val="20"/>
    </w:rPr>
  </w:style>
  <w:style w:type="paragraph" w:styleId="BalloonText">
    <w:name w:val="Balloon Text"/>
    <w:basedOn w:val="Normal"/>
    <w:link w:val="BalloonTextChar"/>
    <w:uiPriority w:val="99"/>
    <w:semiHidden/>
    <w:unhideWhenUsed/>
    <w:rsid w:val="00F30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7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Scarlett Gillespie</dc:creator>
  <cp:keywords/>
  <dc:description/>
  <cp:lastModifiedBy>Scarlett Gillespie</cp:lastModifiedBy>
  <cp:revision>2</cp:revision>
  <dcterms:created xsi:type="dcterms:W3CDTF">2020-11-23T09:21:00Z</dcterms:created>
  <dcterms:modified xsi:type="dcterms:W3CDTF">2020-11-23T09:21:00Z</dcterms:modified>
</cp:coreProperties>
</file>