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NMTRG Guidelines for the assessment and rehabilitation of the Complex Lower Limb injury in a Major Trauma patient</w:t>
      </w:r>
    </w:p>
    <w:tbl>
      <w:tblPr>
        <w:tblStyle w:val="Table1"/>
        <w:tblW w:w="1040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09"/>
        <w:tblGridChange w:id="0">
          <w:tblGrid>
            <w:gridCol w:w="10409"/>
          </w:tblGrid>
        </w:tblGridChange>
      </w:tblGrid>
      <w:tr>
        <w:trPr>
          <w:cantSplit w:val="0"/>
          <w:trHeight w:val="422" w:hRule="atLeast"/>
          <w:tblHeader w:val="0"/>
        </w:trPr>
        <w:tc>
          <w:tcPr>
            <w:shd w:fill="8c3c66" w:val="clear"/>
          </w:tcPr>
          <w:p w:rsidR="00000000" w:rsidDel="00000000" w:rsidP="00000000" w:rsidRDefault="00000000" w:rsidRPr="00000000" w14:paraId="00000002">
            <w:pPr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Discipline: Occupational Therapy and Physiotherapy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Complex Lower Limb injury Physiotherapy and Occupational Therapy  Rehabilitation Guideline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2dcdb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The PT/OT should have a working knowledge of: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11"/>
              </w:numPr>
              <w:spacing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Lower limb anatomy and biomechanics 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11"/>
              </w:numPr>
              <w:spacing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Fracture healing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1"/>
              </w:numPr>
              <w:spacing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Lower limb nervous  and vascular system 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1"/>
              </w:numPr>
              <w:spacing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Lower limb reconstruction surgery techniques including limb lengthening, bone transportation, &amp; deformity correctional procedures 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1"/>
              </w:numPr>
              <w:spacing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Surgery including plastics involvement e.g. grafts and flaps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1"/>
              </w:numPr>
              <w:spacing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Rehabilitation expectations 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1"/>
              </w:numPr>
              <w:spacing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Spanning knee frames/ tibial frames/ tibial frames with footplate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The Physiotherapist and the Occupational Therapist should be able to </w:t>
            </w:r>
            <w:r w:rsidDel="00000000" w:rsidR="00000000" w:rsidRPr="00000000">
              <w:rPr>
                <w:rtl w:val="0"/>
              </w:rPr>
              <w:t xml:space="preserve">complete basic limb observations to include the following: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Capillary Refill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Pulses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Motor activity and grading with a standardised measure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Sensory testing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Palpation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Passive muscle stretch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Be able to escalate concerns where additional injuries are suspected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2dcdb" w:val="clear"/>
          </w:tcPr>
          <w:p w:rsidR="00000000" w:rsidDel="00000000" w:rsidP="00000000" w:rsidRDefault="00000000" w:rsidRPr="00000000" w14:paraId="0000001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The Physiotherapist  and Occupational Therapist should be able to </w:t>
            </w:r>
            <w:r w:rsidDel="00000000" w:rsidR="00000000" w:rsidRPr="00000000">
              <w:rPr>
                <w:rtl w:val="0"/>
              </w:rPr>
              <w:t xml:space="preserve">identify problems as a result of fractures/surgery and escalate if required: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6"/>
              </w:numPr>
              <w:spacing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Swelling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6"/>
              </w:numPr>
              <w:spacing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Fracture blisters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6"/>
              </w:numPr>
              <w:spacing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Limb swelling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6"/>
              </w:numPr>
              <w:spacing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Infection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6"/>
              </w:numPr>
              <w:spacing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Circulation compromise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6"/>
              </w:numPr>
              <w:spacing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Wound/dressing issues (including PICO/negative pressure dressing) 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6"/>
              </w:numPr>
              <w:spacing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Compartment Syndrome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6"/>
              </w:numPr>
              <w:spacing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Sensory changes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Motor changes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Internal degloving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Understanding rhabdomyolysis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Understand the rationale for use and identify problems with 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Thomas / Kendrick splint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Braun frame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Traction (skeletal &amp; skin)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2dcdb" w:val="clear"/>
          </w:tcPr>
          <w:p w:rsidR="00000000" w:rsidDel="00000000" w:rsidP="00000000" w:rsidRDefault="00000000" w:rsidRPr="00000000" w14:paraId="0000002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Demonstrate knowledge of common orthopaedic surgery: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7"/>
              </w:numPr>
              <w:spacing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ORIF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7"/>
              </w:numPr>
              <w:spacing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External Fixator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Ilizarov/TSF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DHS / Cannulated hip screws / hemi arthroplasty / total hip replacements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Distal femoral replacements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Inter medullary fixation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K-Wire fixation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 be aware of the local hip precautions / consultant preferences for a fractured neck of femur (NOF) and adhere to the national guidelines and any local best practice tariff (BPT) for this group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shd w:fill="f2dcdb" w:val="clear"/>
          </w:tcPr>
          <w:p w:rsidR="00000000" w:rsidDel="00000000" w:rsidP="00000000" w:rsidRDefault="00000000" w:rsidRPr="00000000" w14:paraId="0000003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Demonstrate awareness of common post-operative complications, how to identify them, how to escalate and when safe to continue therapy: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Compartment Syndrome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Deep Vein Thrombosis (DVT)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Cardiovascular instability 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Low Hb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Pulmonary Embolus (PE)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Fat emboli  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Wound infection/dehiscing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Nerve injury/palsy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Delirium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Intracranial pathologies post-operative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Acknowledgement of other soft tissue or bony injuries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 be aware of potential modalities to assist muscle and joint range of motion: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CPM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Splinting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Exercise therapy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76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Soft tissue techniques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Understanding analgesia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shd w:fill="f2dcdb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 be able to complete: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 comprehensive assessment of the lower limb (physical, sensory, cognitive and psychosocial as per NICE Guidelines)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Devise a patient centred appropriate treatment plan and goals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Progress and amend as required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To be able to understand rationale for, bespoke and off the shelf equipment ,application, adjustment and education for patient/carer on the use of:</w:t>
            </w:r>
          </w:p>
          <w:p w:rsidR="00000000" w:rsidDel="00000000" w:rsidP="00000000" w:rsidRDefault="00000000" w:rsidRPr="00000000" w14:paraId="0000004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4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Hip dislocation brace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4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Cricket pad splint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4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Hinged knee brace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4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Dynamic PCL brace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4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Walking / rigid / fixed walker boot 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Offloader shoe / plaster shoe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4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AFO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4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Speed brace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4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Foot up splint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4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Dorsiwedge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Foot drop splints (bespoke and off-shelf)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shd w:fill="f2dcdb" w:val="clear"/>
          </w:tcPr>
          <w:p w:rsidR="00000000" w:rsidDel="00000000" w:rsidP="00000000" w:rsidRDefault="00000000" w:rsidRPr="00000000" w14:paraId="0000005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To demonstrate awareness of varying weight bearing restrictions and appropriate: 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12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walking aid selection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12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transfer aids(banana board, sara stedy, Re-Turn, ETAC &amp; hoist)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12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mobility progression 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12"/>
              </w:numPr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maximisation of outcome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and independence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Environmental/equipment needs for discharge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Be aware of common issues around daily life with an external fixator/frame and advise the patient accordingly (please see the lower limb reconstruction guideline for in depth information)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14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Personal care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14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Dressing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14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Functional tasks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14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Mobility/Transportation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14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Body image/psychological acceptance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shd w:fill="f2dcdb" w:val="clear"/>
          </w:tcPr>
          <w:p w:rsidR="00000000" w:rsidDel="00000000" w:rsidP="00000000" w:rsidRDefault="00000000" w:rsidRPr="00000000" w14:paraId="0000006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Demonstrate knowledge of the professionals available to input care into  patients with complex lower limb injury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15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Specialist nurse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15"/>
              </w:numPr>
              <w:spacing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District nurse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15"/>
              </w:numPr>
              <w:spacing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Orthotics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15"/>
              </w:numPr>
              <w:spacing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Plaster technician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15"/>
              </w:numPr>
              <w:spacing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Prosthetics</w:t>
            </w:r>
          </w:p>
        </w:tc>
      </w:tr>
      <w:tr>
        <w:trPr>
          <w:cantSplit w:val="0"/>
          <w:trHeight w:val="1185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Understand the indications for wheelchair assessment and be able to  educate patient/carer on the following: 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9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Wheelchair set up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9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Self-propelling (where able)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9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Access to a vehicle 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shd w:fill="f2dcdb" w:val="clear"/>
          </w:tcPr>
          <w:p w:rsidR="00000000" w:rsidDel="00000000" w:rsidP="00000000" w:rsidRDefault="00000000" w:rsidRPr="00000000" w14:paraId="0000007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With regards to plastics surgery, to be able to do the following: 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8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Administer the free flap dangling protocol for the lower limb and educate others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8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Understand the potential psychological impact to the patient and refer onto psychology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8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Understand when to escalate any concerns</w:t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Be able to identify and refer on for: 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16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Provision of longer term rehabilitation needs (including vocation &amp; education) and educate patient/carer around these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shd w:fill="f2dcdb" w:val="clear"/>
          </w:tcPr>
          <w:p w:rsidR="00000000" w:rsidDel="00000000" w:rsidP="00000000" w:rsidRDefault="00000000" w:rsidRPr="00000000" w14:paraId="0000007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If required the patient has access to: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13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Outpatient MSK rehab within two weeks of discharge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13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Community therapy within a week of hospital discharge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13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Community psychology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13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long term access to pain services </w:t>
            </w:r>
          </w:p>
        </w:tc>
      </w:tr>
    </w:tbl>
    <w:p w:rsidR="00000000" w:rsidDel="00000000" w:rsidP="00000000" w:rsidRDefault="00000000" w:rsidRPr="00000000" w14:paraId="0000007D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References and Further Reading</w:t>
      </w:r>
    </w:p>
    <w:p w:rsidR="00000000" w:rsidDel="00000000" w:rsidP="00000000" w:rsidRDefault="00000000" w:rsidRPr="00000000" w14:paraId="0000007F">
      <w:pPr>
        <w:spacing w:line="276" w:lineRule="auto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76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719" w:right="1440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872766" cy="551772"/>
          <wp:effectExtent b="0" l="0" r="0" t="0"/>
          <wp:docPr descr="F:\Major Trauma\2019\NMTNRG\NMTRG.png" id="43" name="image1.png"/>
          <a:graphic>
            <a:graphicData uri="http://schemas.openxmlformats.org/drawingml/2006/picture">
              <pic:pic>
                <pic:nvPicPr>
                  <pic:cNvPr descr="F:\Major Trauma\2019\NMTNRG\NMTRG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766" cy="55177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A390F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9C47CB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9E2FF5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4E75B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E75B7"/>
  </w:style>
  <w:style w:type="paragraph" w:styleId="Footer">
    <w:name w:val="footer"/>
    <w:basedOn w:val="Normal"/>
    <w:link w:val="FooterChar"/>
    <w:uiPriority w:val="99"/>
    <w:unhideWhenUsed w:val="1"/>
    <w:rsid w:val="004E75B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E75B7"/>
  </w:style>
  <w:style w:type="character" w:styleId="Hyperlink">
    <w:name w:val="Hyperlink"/>
    <w:basedOn w:val="DefaultParagraphFont"/>
    <w:uiPriority w:val="99"/>
    <w:unhideWhenUsed w:val="1"/>
    <w:rsid w:val="008F40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1258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12580"/>
    <w:rPr>
      <w:rFonts w:ascii="Tahoma" w:cs="Tahoma" w:hAnsi="Tahoma"/>
      <w:sz w:val="16"/>
      <w:szCs w:val="16"/>
    </w:rPr>
  </w:style>
  <w:style w:type="character" w:styleId="normalchar" w:customStyle="1">
    <w:name w:val="normal__char"/>
    <w:basedOn w:val="DefaultParagraphFont"/>
    <w:rsid w:val="00390275"/>
  </w:style>
  <w:style w:type="character" w:styleId="Emphasis">
    <w:name w:val="Emphasis"/>
    <w:basedOn w:val="DefaultParagraphFont"/>
    <w:uiPriority w:val="20"/>
    <w:qFormat w:val="1"/>
    <w:rsid w:val="007E5578"/>
    <w:rPr>
      <w:i w:val="1"/>
      <w:iCs w:val="1"/>
    </w:rPr>
  </w:style>
  <w:style w:type="character" w:styleId="highwire-cite-journal" w:customStyle="1">
    <w:name w:val="highwire-cite-journal"/>
    <w:basedOn w:val="DefaultParagraphFont"/>
    <w:rsid w:val="00586820"/>
  </w:style>
  <w:style w:type="character" w:styleId="highwire-cite-published-year" w:customStyle="1">
    <w:name w:val="highwire-cite-published-year"/>
    <w:basedOn w:val="DefaultParagraphFont"/>
    <w:rsid w:val="00586820"/>
  </w:style>
  <w:style w:type="character" w:styleId="highwire-cite-volume-issue" w:customStyle="1">
    <w:name w:val="highwire-cite-volume-issue"/>
    <w:basedOn w:val="DefaultParagraphFont"/>
    <w:rsid w:val="00586820"/>
  </w:style>
  <w:style w:type="character" w:styleId="highwire-cite-doi" w:customStyle="1">
    <w:name w:val="highwire-cite-doi"/>
    <w:basedOn w:val="DefaultParagraphFont"/>
    <w:rsid w:val="00586820"/>
  </w:style>
  <w:style w:type="character" w:styleId="highwire-cite-date" w:customStyle="1">
    <w:name w:val="highwire-cite-date"/>
    <w:basedOn w:val="DefaultParagraphFont"/>
    <w:rsid w:val="00586820"/>
  </w:style>
  <w:style w:type="character" w:styleId="highwire-cite-article-as" w:customStyle="1">
    <w:name w:val="highwire-cite-article-as"/>
    <w:basedOn w:val="DefaultParagraphFont"/>
    <w:rsid w:val="00586820"/>
  </w:style>
  <w:style w:type="character" w:styleId="italic" w:customStyle="1">
    <w:name w:val="italic"/>
    <w:basedOn w:val="DefaultParagraphFont"/>
    <w:rsid w:val="0058682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4sQKuSfXWgta1i2JSQVSDpWkVw==">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2021-03-18T20:27:00Z</dcterms:created>
  <dc:creator>justine</dc:creator>
</cp:coreProperties>
</file>