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5F" w:rsidRDefault="003A595F" w:rsidP="003A595F">
      <w:pPr>
        <w:ind w:firstLine="720"/>
        <w:rPr>
          <w:sz w:val="28"/>
          <w:szCs w:val="28"/>
        </w:rPr>
      </w:pPr>
      <w:bookmarkStart w:id="0" w:name="_GoBack"/>
      <w:bookmarkEnd w:id="0"/>
    </w:p>
    <w:p w:rsidR="003A595F" w:rsidRDefault="009B64E4" w:rsidP="009B64E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Reference List</w:t>
      </w:r>
    </w:p>
    <w:p w:rsidR="00CA7D5D" w:rsidRPr="00CA7D5D" w:rsidRDefault="00CA7D5D" w:rsidP="00CA7D5D">
      <w:pPr>
        <w:pStyle w:val="ListParagraph"/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Abbasi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Fard</w:t>
      </w:r>
      <w:proofErr w:type="spellEnd"/>
      <w:r>
        <w:rPr>
          <w:sz w:val="28"/>
          <w:szCs w:val="28"/>
        </w:rPr>
        <w:t xml:space="preserve"> S et al (2017), </w:t>
      </w:r>
      <w:r w:rsidRPr="00CA7D5D">
        <w:rPr>
          <w:bCs/>
          <w:sz w:val="28"/>
          <w:szCs w:val="28"/>
        </w:rPr>
        <w:t>Instability in Thoracolumbar Trauma: Is a New Definition Warranted?</w:t>
      </w:r>
      <w:r>
        <w:rPr>
          <w:bCs/>
          <w:sz w:val="28"/>
          <w:szCs w:val="28"/>
        </w:rPr>
        <w:t xml:space="preserve"> </w:t>
      </w:r>
      <w:r w:rsidRPr="00CA7D5D">
        <w:rPr>
          <w:bCs/>
          <w:i/>
          <w:sz w:val="28"/>
          <w:szCs w:val="28"/>
        </w:rPr>
        <w:t>Clinical spine surgery</w:t>
      </w:r>
      <w:r w:rsidRPr="00CA7D5D">
        <w:rPr>
          <w:bCs/>
          <w:sz w:val="28"/>
          <w:szCs w:val="28"/>
        </w:rPr>
        <w:t xml:space="preserve">; </w:t>
      </w:r>
      <w:r>
        <w:rPr>
          <w:bCs/>
          <w:sz w:val="28"/>
          <w:szCs w:val="28"/>
        </w:rPr>
        <w:t>Volume</w:t>
      </w:r>
      <w:r w:rsidRPr="00CA7D5D">
        <w:rPr>
          <w:bCs/>
          <w:sz w:val="28"/>
          <w:szCs w:val="28"/>
        </w:rPr>
        <w:t xml:space="preserve"> 30</w:t>
      </w:r>
      <w:r>
        <w:rPr>
          <w:bCs/>
          <w:sz w:val="28"/>
          <w:szCs w:val="28"/>
        </w:rPr>
        <w:t>, Issue</w:t>
      </w:r>
      <w:r w:rsidRPr="00CA7D5D">
        <w:rPr>
          <w:bCs/>
          <w:sz w:val="28"/>
          <w:szCs w:val="28"/>
        </w:rPr>
        <w:t xml:space="preserve"> 8</w:t>
      </w:r>
      <w:r>
        <w:rPr>
          <w:bCs/>
          <w:sz w:val="28"/>
          <w:szCs w:val="28"/>
        </w:rPr>
        <w:t>,</w:t>
      </w:r>
      <w:r w:rsidRPr="00CA7D5D">
        <w:rPr>
          <w:bCs/>
          <w:sz w:val="28"/>
          <w:szCs w:val="28"/>
        </w:rPr>
        <w:t xml:space="preserve"> p</w:t>
      </w:r>
      <w:r>
        <w:rPr>
          <w:bCs/>
          <w:sz w:val="28"/>
          <w:szCs w:val="28"/>
        </w:rPr>
        <w:t>p</w:t>
      </w:r>
      <w:r w:rsidRPr="00CA7D5D">
        <w:rPr>
          <w:bCs/>
          <w:sz w:val="28"/>
          <w:szCs w:val="28"/>
        </w:rPr>
        <w:t xml:space="preserve"> E1046-E1049</w:t>
      </w:r>
    </w:p>
    <w:p w:rsidR="007E3922" w:rsidRDefault="007E3922" w:rsidP="007E392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rStyle w:val="A0"/>
        </w:rPr>
        <w:t>AOSpine</w:t>
      </w:r>
      <w:proofErr w:type="spellEnd"/>
      <w:r>
        <w:rPr>
          <w:rStyle w:val="A0"/>
        </w:rPr>
        <w:t xml:space="preserve"> Thoracolumbar Classification System (</w:t>
      </w:r>
      <w:r w:rsidRPr="007E3922">
        <w:rPr>
          <w:sz w:val="28"/>
          <w:szCs w:val="28"/>
        </w:rPr>
        <w:t>2018</w:t>
      </w:r>
      <w:r>
        <w:rPr>
          <w:sz w:val="28"/>
          <w:szCs w:val="28"/>
        </w:rPr>
        <w:t xml:space="preserve">), </w:t>
      </w:r>
      <w:proofErr w:type="spellStart"/>
      <w:r w:rsidRPr="007E3922">
        <w:rPr>
          <w:sz w:val="28"/>
          <w:szCs w:val="28"/>
        </w:rPr>
        <w:t>AOSpine</w:t>
      </w:r>
      <w:proofErr w:type="spellEnd"/>
      <w:r w:rsidRPr="007E3922">
        <w:rPr>
          <w:sz w:val="28"/>
          <w:szCs w:val="28"/>
        </w:rPr>
        <w:t xml:space="preserve"> International</w:t>
      </w:r>
    </w:p>
    <w:p w:rsidR="00DE6570" w:rsidRPr="00DE6570" w:rsidRDefault="00DE6570" w:rsidP="007E392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Fracture and Dislocation Classification Compendium (2018). </w:t>
      </w:r>
      <w:r w:rsidRPr="00DE6570">
        <w:rPr>
          <w:i/>
          <w:iCs/>
          <w:sz w:val="28"/>
          <w:szCs w:val="28"/>
        </w:rPr>
        <w:t>J</w:t>
      </w:r>
      <w:r>
        <w:rPr>
          <w:i/>
          <w:iCs/>
          <w:sz w:val="28"/>
          <w:szCs w:val="28"/>
        </w:rPr>
        <w:t xml:space="preserve">ournal of </w:t>
      </w:r>
      <w:r w:rsidRPr="00DE6570">
        <w:rPr>
          <w:i/>
          <w:iCs/>
          <w:sz w:val="28"/>
          <w:szCs w:val="28"/>
        </w:rPr>
        <w:t>Orthop</w:t>
      </w:r>
      <w:r>
        <w:rPr>
          <w:i/>
          <w:iCs/>
          <w:sz w:val="28"/>
          <w:szCs w:val="28"/>
        </w:rPr>
        <w:t>aedic</w:t>
      </w:r>
      <w:r w:rsidRPr="00DE6570">
        <w:rPr>
          <w:i/>
          <w:iCs/>
          <w:sz w:val="28"/>
          <w:szCs w:val="28"/>
        </w:rPr>
        <w:t xml:space="preserve"> Trauma </w:t>
      </w:r>
      <w:r w:rsidRPr="00DE6570">
        <w:rPr>
          <w:iCs/>
          <w:sz w:val="28"/>
          <w:szCs w:val="28"/>
        </w:rPr>
        <w:t>• Volume 32, Number 1 Supplement</w:t>
      </w:r>
      <w:r>
        <w:rPr>
          <w:iCs/>
          <w:sz w:val="28"/>
          <w:szCs w:val="28"/>
        </w:rPr>
        <w:t xml:space="preserve"> </w:t>
      </w:r>
      <w:r w:rsidRPr="00DE6570">
        <w:rPr>
          <w:iCs/>
          <w:sz w:val="28"/>
          <w:szCs w:val="28"/>
        </w:rPr>
        <w:t>Copyright © 2017 by AO Foundation, Davos, Switzerland; Orthopaedic Trauma Association, IL, US</w:t>
      </w:r>
    </w:p>
    <w:p w:rsidR="0040369E" w:rsidRDefault="0040369E" w:rsidP="0040369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40369E">
        <w:rPr>
          <w:sz w:val="28"/>
          <w:szCs w:val="28"/>
        </w:rPr>
        <w:t xml:space="preserve">Elliot DS et al (2016). </w:t>
      </w:r>
      <w:r w:rsidRPr="00CA7D5D">
        <w:rPr>
          <w:iCs/>
          <w:sz w:val="28"/>
          <w:szCs w:val="28"/>
        </w:rPr>
        <w:t xml:space="preserve">A unified theory of bone healing and </w:t>
      </w:r>
      <w:proofErr w:type="spellStart"/>
      <w:r w:rsidRPr="00CA7D5D">
        <w:rPr>
          <w:iCs/>
          <w:sz w:val="28"/>
          <w:szCs w:val="28"/>
        </w:rPr>
        <w:t>nonunion</w:t>
      </w:r>
      <w:proofErr w:type="spellEnd"/>
      <w:r w:rsidRPr="00CA7D5D">
        <w:rPr>
          <w:iCs/>
          <w:sz w:val="28"/>
          <w:szCs w:val="28"/>
        </w:rPr>
        <w:t>: BHN THEORY</w:t>
      </w:r>
      <w:r>
        <w:rPr>
          <w:i/>
          <w:iCs/>
          <w:sz w:val="28"/>
          <w:szCs w:val="28"/>
        </w:rPr>
        <w:t xml:space="preserve">, </w:t>
      </w:r>
      <w:r w:rsidRPr="00CA7D5D">
        <w:rPr>
          <w:i/>
          <w:sz w:val="28"/>
          <w:szCs w:val="28"/>
        </w:rPr>
        <w:t>The Bone &amp; Joint Journal</w:t>
      </w:r>
      <w:r w:rsidRPr="0040369E">
        <w:rPr>
          <w:sz w:val="28"/>
          <w:szCs w:val="28"/>
        </w:rPr>
        <w:t xml:space="preserve">, Volume 98B, Issue 7, pp 884–891. Copyright: © 2016 All Rights Reserved. The Journal of Bone and Joint Surgery, Inc. </w:t>
      </w:r>
    </w:p>
    <w:p w:rsidR="00714414" w:rsidRDefault="00714414" w:rsidP="00714414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proofErr w:type="spellStart"/>
      <w:r w:rsidRPr="00714414">
        <w:rPr>
          <w:sz w:val="28"/>
          <w:szCs w:val="28"/>
        </w:rPr>
        <w:t>Loughenbury</w:t>
      </w:r>
      <w:proofErr w:type="spellEnd"/>
      <w:r w:rsidRPr="00714414">
        <w:rPr>
          <w:sz w:val="28"/>
          <w:szCs w:val="28"/>
        </w:rPr>
        <w:t xml:space="preserve"> PR et al (2016)</w:t>
      </w:r>
      <w:r>
        <w:rPr>
          <w:sz w:val="28"/>
          <w:szCs w:val="28"/>
        </w:rPr>
        <w:t>.</w:t>
      </w:r>
      <w:r w:rsidRPr="00714414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Spinal biomechanics -</w:t>
      </w:r>
      <w:r w:rsidRPr="00714414">
        <w:rPr>
          <w:i/>
          <w:sz w:val="28"/>
          <w:szCs w:val="28"/>
        </w:rPr>
        <w:t xml:space="preserve"> biomechanical considerations of spinal stability in the context of spinal injury</w:t>
      </w:r>
      <w:r>
        <w:rPr>
          <w:sz w:val="28"/>
          <w:szCs w:val="28"/>
        </w:rPr>
        <w:t>,</w:t>
      </w:r>
      <w:r w:rsidRPr="00714414">
        <w:rPr>
          <w:sz w:val="28"/>
          <w:szCs w:val="28"/>
        </w:rPr>
        <w:t xml:space="preserve"> </w:t>
      </w:r>
      <w:hyperlink r:id="rId8" w:anchor="!/browse/journal-issue/1-s2.0-S1877132716X00061" w:history="1">
        <w:proofErr w:type="spellStart"/>
        <w:r w:rsidRPr="00714414">
          <w:rPr>
            <w:rStyle w:val="Hyperlink"/>
            <w:bCs/>
            <w:color w:val="auto"/>
            <w:sz w:val="28"/>
            <w:szCs w:val="28"/>
            <w:u w:val="none"/>
            <w:lang w:val="en-US"/>
          </w:rPr>
          <w:t>Orthopaedics</w:t>
        </w:r>
        <w:proofErr w:type="spellEnd"/>
        <w:r w:rsidRPr="00714414">
          <w:rPr>
            <w:rStyle w:val="Hyperlink"/>
            <w:bCs/>
            <w:color w:val="auto"/>
            <w:sz w:val="28"/>
            <w:szCs w:val="28"/>
            <w:u w:val="none"/>
            <w:lang w:val="en-US"/>
          </w:rPr>
          <w:t xml:space="preserve"> and Trauma</w:t>
        </w:r>
      </w:hyperlink>
      <w:r w:rsidR="009323D3">
        <w:rPr>
          <w:sz w:val="28"/>
          <w:szCs w:val="28"/>
        </w:rPr>
        <w:t>;</w:t>
      </w:r>
      <w:r w:rsidRPr="00714414">
        <w:rPr>
          <w:bCs/>
          <w:sz w:val="28"/>
          <w:szCs w:val="28"/>
          <w:lang w:val="en-US"/>
        </w:rPr>
        <w:t xml:space="preserve"> </w:t>
      </w:r>
      <w:hyperlink r:id="rId9" w:anchor="!/browse/journal-issue/1-s2.0-S1877132716X00061" w:history="1">
        <w:r w:rsidRPr="00714414">
          <w:rPr>
            <w:rStyle w:val="Hyperlink"/>
            <w:color w:val="auto"/>
            <w:sz w:val="28"/>
            <w:szCs w:val="28"/>
            <w:u w:val="none"/>
            <w:lang w:val="en-US"/>
          </w:rPr>
          <w:t>Volume 30, Issue 5</w:t>
        </w:r>
      </w:hyperlink>
      <w:r w:rsidRPr="00714414">
        <w:rPr>
          <w:sz w:val="28"/>
          <w:szCs w:val="28"/>
        </w:rPr>
        <w:t xml:space="preserve"> </w:t>
      </w:r>
      <w:r w:rsidRPr="00714414">
        <w:rPr>
          <w:sz w:val="28"/>
          <w:szCs w:val="28"/>
          <w:lang w:val="en-US"/>
        </w:rPr>
        <w:t>Copyright © 2016</w:t>
      </w:r>
    </w:p>
    <w:p w:rsidR="0040369E" w:rsidRPr="0040369E" w:rsidRDefault="0040369E" w:rsidP="0040369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Marsell</w:t>
      </w:r>
      <w:proofErr w:type="spellEnd"/>
      <w:r>
        <w:rPr>
          <w:sz w:val="28"/>
          <w:szCs w:val="28"/>
        </w:rPr>
        <w:t xml:space="preserve"> R and </w:t>
      </w:r>
      <w:proofErr w:type="spellStart"/>
      <w:r>
        <w:rPr>
          <w:sz w:val="28"/>
          <w:szCs w:val="28"/>
        </w:rPr>
        <w:t>Einhorn</w:t>
      </w:r>
      <w:proofErr w:type="spellEnd"/>
      <w:r>
        <w:rPr>
          <w:sz w:val="28"/>
          <w:szCs w:val="28"/>
        </w:rPr>
        <w:t xml:space="preserve"> TA (2011). </w:t>
      </w:r>
      <w:r w:rsidRPr="0040369E">
        <w:rPr>
          <w:bCs/>
          <w:i/>
          <w:sz w:val="28"/>
          <w:szCs w:val="28"/>
        </w:rPr>
        <w:t>The biology of fracture healing</w:t>
      </w:r>
      <w:r>
        <w:rPr>
          <w:bCs/>
          <w:sz w:val="28"/>
          <w:szCs w:val="28"/>
        </w:rPr>
        <w:t xml:space="preserve">, </w:t>
      </w:r>
      <w:r w:rsidRPr="0040369E">
        <w:rPr>
          <w:bCs/>
          <w:sz w:val="28"/>
          <w:szCs w:val="28"/>
        </w:rPr>
        <w:t>Injury</w:t>
      </w:r>
      <w:r>
        <w:rPr>
          <w:bCs/>
          <w:sz w:val="28"/>
          <w:szCs w:val="28"/>
        </w:rPr>
        <w:t>; Volume</w:t>
      </w:r>
      <w:r w:rsidRPr="0040369E">
        <w:rPr>
          <w:bCs/>
          <w:sz w:val="28"/>
          <w:szCs w:val="28"/>
        </w:rPr>
        <w:t xml:space="preserve"> 42</w:t>
      </w:r>
      <w:r>
        <w:rPr>
          <w:bCs/>
          <w:sz w:val="28"/>
          <w:szCs w:val="28"/>
        </w:rPr>
        <w:t xml:space="preserve">, Issue </w:t>
      </w:r>
      <w:r w:rsidRPr="0040369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, pp</w:t>
      </w:r>
      <w:r w:rsidRPr="0040369E">
        <w:rPr>
          <w:bCs/>
          <w:sz w:val="28"/>
          <w:szCs w:val="28"/>
        </w:rPr>
        <w:t xml:space="preserve"> 551–555.</w:t>
      </w:r>
    </w:p>
    <w:p w:rsidR="009323D3" w:rsidRPr="001C726F" w:rsidRDefault="009323D3" w:rsidP="009323D3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proofErr w:type="spellStart"/>
      <w:r w:rsidRPr="009323D3">
        <w:rPr>
          <w:sz w:val="28"/>
          <w:szCs w:val="28"/>
          <w:lang w:val="en-US"/>
        </w:rPr>
        <w:t>Rajasekaran</w:t>
      </w:r>
      <w:proofErr w:type="spellEnd"/>
      <w:r>
        <w:rPr>
          <w:sz w:val="28"/>
          <w:szCs w:val="28"/>
          <w:lang w:val="en-US"/>
        </w:rPr>
        <w:t xml:space="preserve"> S et al (2015). </w:t>
      </w:r>
      <w:r w:rsidRPr="009323D3">
        <w:rPr>
          <w:i/>
          <w:sz w:val="28"/>
          <w:szCs w:val="28"/>
        </w:rPr>
        <w:t>Management of thoracolumbar spine trauma An overview</w:t>
      </w:r>
      <w:r>
        <w:rPr>
          <w:i/>
          <w:sz w:val="28"/>
          <w:szCs w:val="28"/>
        </w:rPr>
        <w:t xml:space="preserve">, Indian Journal of Orthopaedics; </w:t>
      </w:r>
      <w:r w:rsidRPr="009323D3">
        <w:rPr>
          <w:sz w:val="28"/>
          <w:szCs w:val="28"/>
        </w:rPr>
        <w:t>Volume 49, Issue 1, pp72-82</w:t>
      </w:r>
    </w:p>
    <w:p w:rsidR="001C726F" w:rsidRPr="001C726F" w:rsidRDefault="001C726F" w:rsidP="00C968C3">
      <w:pPr>
        <w:pStyle w:val="ListParagraph"/>
        <w:numPr>
          <w:ilvl w:val="0"/>
          <w:numId w:val="1"/>
        </w:numPr>
        <w:jc w:val="both"/>
        <w:rPr>
          <w:lang w:val="en-US"/>
        </w:rPr>
      </w:pPr>
      <w:proofErr w:type="spellStart"/>
      <w:r w:rsidRPr="001C726F">
        <w:rPr>
          <w:sz w:val="28"/>
          <w:szCs w:val="28"/>
        </w:rPr>
        <w:t>Ruedi</w:t>
      </w:r>
      <w:proofErr w:type="spellEnd"/>
      <w:r w:rsidRPr="001C726F">
        <w:rPr>
          <w:sz w:val="28"/>
          <w:szCs w:val="28"/>
        </w:rPr>
        <w:t xml:space="preserve"> TP, Buckley and Moran CG. AO Principles of Fracture Management. Accessed 3/12/18 </w:t>
      </w:r>
      <w:hyperlink r:id="rId10" w:history="1">
        <w:r w:rsidRPr="001C726F">
          <w:rPr>
            <w:rStyle w:val="Hyperlink"/>
            <w:sz w:val="28"/>
            <w:szCs w:val="28"/>
          </w:rPr>
          <w:t>https://www2.aofoundation.org/wps/portal/surgerymobile?contentUrl=/srg/popup/further_reading/PFxM2/12_33_biol_fx_heal.jsp</w:t>
        </w:r>
      </w:hyperlink>
    </w:p>
    <w:p w:rsidR="009B64E4" w:rsidRPr="00714414" w:rsidRDefault="009B64E4" w:rsidP="00714414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r w:rsidRPr="00714414">
        <w:rPr>
          <w:sz w:val="28"/>
          <w:szCs w:val="28"/>
        </w:rPr>
        <w:t xml:space="preserve">Vaccaro AR et al (2005). </w:t>
      </w:r>
      <w:r w:rsidRPr="00714414">
        <w:rPr>
          <w:i/>
          <w:sz w:val="28"/>
          <w:szCs w:val="28"/>
        </w:rPr>
        <w:t xml:space="preserve">A New Classification of Thoracolumbar Injuries; </w:t>
      </w:r>
      <w:proofErr w:type="gramStart"/>
      <w:r w:rsidRPr="00714414">
        <w:rPr>
          <w:i/>
          <w:sz w:val="28"/>
          <w:szCs w:val="28"/>
        </w:rPr>
        <w:t>The</w:t>
      </w:r>
      <w:proofErr w:type="gramEnd"/>
      <w:r w:rsidRPr="00714414">
        <w:rPr>
          <w:i/>
          <w:sz w:val="28"/>
          <w:szCs w:val="28"/>
        </w:rPr>
        <w:t xml:space="preserve"> Importance of Injury Morphology, the Integrity of the Posterior Ligamentous Complex, and Neurologic Status</w:t>
      </w:r>
      <w:r w:rsidRPr="00714414">
        <w:rPr>
          <w:sz w:val="28"/>
          <w:szCs w:val="28"/>
        </w:rPr>
        <w:t xml:space="preserve">, </w:t>
      </w:r>
      <w:r w:rsidR="00714414" w:rsidRPr="00714414">
        <w:rPr>
          <w:sz w:val="28"/>
          <w:szCs w:val="28"/>
        </w:rPr>
        <w:t>Spine</w:t>
      </w:r>
      <w:r w:rsidR="009323D3">
        <w:rPr>
          <w:sz w:val="28"/>
          <w:szCs w:val="28"/>
        </w:rPr>
        <w:t>;</w:t>
      </w:r>
      <w:r w:rsidRPr="00714414">
        <w:rPr>
          <w:sz w:val="28"/>
          <w:szCs w:val="28"/>
        </w:rPr>
        <w:t xml:space="preserve"> Volume 30, Number 20, pp 2325–2333 ©2005, Lippincott Williams &amp; Wilkins, Inc.</w:t>
      </w:r>
    </w:p>
    <w:p w:rsidR="0040369E" w:rsidRDefault="009B64E4" w:rsidP="0040369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9B64E4">
        <w:rPr>
          <w:sz w:val="28"/>
          <w:szCs w:val="28"/>
        </w:rPr>
        <w:t>White AA, Panjabi MM</w:t>
      </w:r>
      <w:r w:rsidR="00CA7D5D">
        <w:rPr>
          <w:sz w:val="28"/>
          <w:szCs w:val="28"/>
        </w:rPr>
        <w:t xml:space="preserve"> (1978)</w:t>
      </w:r>
      <w:r w:rsidRPr="009B64E4">
        <w:rPr>
          <w:sz w:val="28"/>
          <w:szCs w:val="28"/>
        </w:rPr>
        <w:t xml:space="preserve">. </w:t>
      </w:r>
      <w:r w:rsidRPr="009B64E4">
        <w:rPr>
          <w:i/>
          <w:iCs/>
          <w:sz w:val="28"/>
          <w:szCs w:val="28"/>
        </w:rPr>
        <w:t>Clinical Biomechanics of the Spine</w:t>
      </w:r>
      <w:r w:rsidRPr="009B64E4">
        <w:rPr>
          <w:sz w:val="28"/>
          <w:szCs w:val="28"/>
        </w:rPr>
        <w:t>. Philadelphia:</w:t>
      </w:r>
      <w:r>
        <w:rPr>
          <w:sz w:val="28"/>
          <w:szCs w:val="28"/>
        </w:rPr>
        <w:t xml:space="preserve"> </w:t>
      </w:r>
      <w:r w:rsidR="00CA7D5D">
        <w:rPr>
          <w:sz w:val="28"/>
          <w:szCs w:val="28"/>
        </w:rPr>
        <w:t>Lippincott.</w:t>
      </w:r>
    </w:p>
    <w:p w:rsidR="0040369E" w:rsidRDefault="0040369E" w:rsidP="0040369E">
      <w:pPr>
        <w:pStyle w:val="ListParagraph"/>
        <w:jc w:val="both"/>
        <w:rPr>
          <w:sz w:val="28"/>
          <w:szCs w:val="28"/>
        </w:rPr>
      </w:pPr>
    </w:p>
    <w:p w:rsidR="003A595F" w:rsidRDefault="003A595F" w:rsidP="009B64E4">
      <w:pPr>
        <w:ind w:left="1440" w:firstLine="720"/>
        <w:jc w:val="both"/>
        <w:rPr>
          <w:b/>
          <w:sz w:val="28"/>
          <w:szCs w:val="28"/>
        </w:rPr>
      </w:pPr>
    </w:p>
    <w:p w:rsidR="003A595F" w:rsidRPr="003A595F" w:rsidRDefault="003A595F" w:rsidP="009B64E4">
      <w:pPr>
        <w:ind w:left="1440" w:firstLine="720"/>
        <w:jc w:val="both"/>
        <w:rPr>
          <w:b/>
          <w:sz w:val="28"/>
          <w:szCs w:val="28"/>
        </w:rPr>
      </w:pPr>
    </w:p>
    <w:sectPr w:rsidR="003A595F" w:rsidRPr="003A595F" w:rsidSect="003A595F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E32" w:rsidRDefault="00282E32" w:rsidP="003A595F">
      <w:pPr>
        <w:spacing w:after="0" w:line="240" w:lineRule="auto"/>
      </w:pPr>
      <w:r>
        <w:separator/>
      </w:r>
    </w:p>
  </w:endnote>
  <w:endnote w:type="continuationSeparator" w:id="0">
    <w:p w:rsidR="00282E32" w:rsidRDefault="00282E32" w:rsidP="003A5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BHWG Y+ Formata BQ">
    <w:altName w:val="Formata BQ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E32" w:rsidRDefault="00282E32" w:rsidP="003A595F">
      <w:pPr>
        <w:spacing w:after="0" w:line="240" w:lineRule="auto"/>
      </w:pPr>
      <w:r>
        <w:separator/>
      </w:r>
    </w:p>
  </w:footnote>
  <w:footnote w:type="continuationSeparator" w:id="0">
    <w:p w:rsidR="00282E32" w:rsidRDefault="00282E32" w:rsidP="003A5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95F" w:rsidRDefault="009B64E4">
    <w:pPr>
      <w:pStyle w:val="Header"/>
    </w:pPr>
    <w:r>
      <w:rPr>
        <w:noProof/>
        <w:lang w:eastAsia="en-GB"/>
      </w:rPr>
      <w:t>Susie Wolstenholme Healing Polytrauma Case Study References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B0B51"/>
    <w:multiLevelType w:val="hybridMultilevel"/>
    <w:tmpl w:val="B1DE2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24"/>
    <w:rsid w:val="00080CBA"/>
    <w:rsid w:val="001C726F"/>
    <w:rsid w:val="00282E32"/>
    <w:rsid w:val="00316B7F"/>
    <w:rsid w:val="00362D75"/>
    <w:rsid w:val="003A595F"/>
    <w:rsid w:val="0040369E"/>
    <w:rsid w:val="006E575C"/>
    <w:rsid w:val="00714414"/>
    <w:rsid w:val="007E3922"/>
    <w:rsid w:val="009323D3"/>
    <w:rsid w:val="009B64E4"/>
    <w:rsid w:val="009C5356"/>
    <w:rsid w:val="00BF02DE"/>
    <w:rsid w:val="00C32428"/>
    <w:rsid w:val="00CA7D5D"/>
    <w:rsid w:val="00CC2E97"/>
    <w:rsid w:val="00DE6570"/>
    <w:rsid w:val="00F9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3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7D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5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95F"/>
  </w:style>
  <w:style w:type="paragraph" w:styleId="Footer">
    <w:name w:val="footer"/>
    <w:basedOn w:val="Normal"/>
    <w:link w:val="FooterChar"/>
    <w:uiPriority w:val="99"/>
    <w:unhideWhenUsed/>
    <w:rsid w:val="003A5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95F"/>
  </w:style>
  <w:style w:type="paragraph" w:styleId="ListParagraph">
    <w:name w:val="List Paragraph"/>
    <w:basedOn w:val="Normal"/>
    <w:uiPriority w:val="34"/>
    <w:qFormat/>
    <w:rsid w:val="009B64E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14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1441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3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03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ulltext-bd">
    <w:name w:val="fulltext-bd"/>
    <w:basedOn w:val="DefaultParagraphFont"/>
    <w:rsid w:val="0040369E"/>
  </w:style>
  <w:style w:type="character" w:customStyle="1" w:styleId="Heading3Char">
    <w:name w:val="Heading 3 Char"/>
    <w:basedOn w:val="DefaultParagraphFont"/>
    <w:link w:val="Heading3"/>
    <w:uiPriority w:val="9"/>
    <w:semiHidden/>
    <w:rsid w:val="00CA7D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A7D5D"/>
    <w:rPr>
      <w:b/>
      <w:bCs/>
    </w:rPr>
  </w:style>
  <w:style w:type="paragraph" w:customStyle="1" w:styleId="Default">
    <w:name w:val="Default"/>
    <w:rsid w:val="007E3922"/>
    <w:pPr>
      <w:autoSpaceDE w:val="0"/>
      <w:autoSpaceDN w:val="0"/>
      <w:adjustRightInd w:val="0"/>
      <w:spacing w:after="0" w:line="240" w:lineRule="auto"/>
    </w:pPr>
    <w:rPr>
      <w:rFonts w:ascii="EBHWG Y+ Formata BQ" w:hAnsi="EBHWG Y+ Formata BQ" w:cs="EBHWG Y+ Formata BQ"/>
      <w:color w:val="000000"/>
      <w:sz w:val="24"/>
      <w:szCs w:val="24"/>
    </w:rPr>
  </w:style>
  <w:style w:type="character" w:customStyle="1" w:styleId="A0">
    <w:name w:val="A0"/>
    <w:uiPriority w:val="99"/>
    <w:rsid w:val="007E3922"/>
    <w:rPr>
      <w:rFonts w:cs="EBHWG Y+ Formata BQ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3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7D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5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95F"/>
  </w:style>
  <w:style w:type="paragraph" w:styleId="Footer">
    <w:name w:val="footer"/>
    <w:basedOn w:val="Normal"/>
    <w:link w:val="FooterChar"/>
    <w:uiPriority w:val="99"/>
    <w:unhideWhenUsed/>
    <w:rsid w:val="003A59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95F"/>
  </w:style>
  <w:style w:type="paragraph" w:styleId="ListParagraph">
    <w:name w:val="List Paragraph"/>
    <w:basedOn w:val="Normal"/>
    <w:uiPriority w:val="34"/>
    <w:qFormat/>
    <w:rsid w:val="009B64E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14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71441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3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03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ulltext-bd">
    <w:name w:val="fulltext-bd"/>
    <w:basedOn w:val="DefaultParagraphFont"/>
    <w:rsid w:val="0040369E"/>
  </w:style>
  <w:style w:type="character" w:customStyle="1" w:styleId="Heading3Char">
    <w:name w:val="Heading 3 Char"/>
    <w:basedOn w:val="DefaultParagraphFont"/>
    <w:link w:val="Heading3"/>
    <w:uiPriority w:val="9"/>
    <w:semiHidden/>
    <w:rsid w:val="00CA7D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CA7D5D"/>
    <w:rPr>
      <w:b/>
      <w:bCs/>
    </w:rPr>
  </w:style>
  <w:style w:type="paragraph" w:customStyle="1" w:styleId="Default">
    <w:name w:val="Default"/>
    <w:rsid w:val="007E3922"/>
    <w:pPr>
      <w:autoSpaceDE w:val="0"/>
      <w:autoSpaceDN w:val="0"/>
      <w:adjustRightInd w:val="0"/>
      <w:spacing w:after="0" w:line="240" w:lineRule="auto"/>
    </w:pPr>
    <w:rPr>
      <w:rFonts w:ascii="EBHWG Y+ Formata BQ" w:hAnsi="EBHWG Y+ Formata BQ" w:cs="EBHWG Y+ Formata BQ"/>
      <w:color w:val="000000"/>
      <w:sz w:val="24"/>
      <w:szCs w:val="24"/>
    </w:rPr>
  </w:style>
  <w:style w:type="character" w:customStyle="1" w:styleId="A0">
    <w:name w:val="A0"/>
    <w:uiPriority w:val="99"/>
    <w:rsid w:val="007E3922"/>
    <w:rPr>
      <w:rFonts w:cs="EBHWG Y+ Formata BQ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5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6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99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9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3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23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2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84283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22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6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17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81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00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84610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0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57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8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8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2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68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linicalkey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2.aofoundation.org/wps/portal/surgerymobile?contentUrl=/srg/popup/further_reading/PFxM2/12_33_biol_fx_heal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icalke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ICT Shared Service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WOLSTENHOLME Susie, Senior Physiotherapist</dc:creator>
  <cp:lastModifiedBy>Marroney, Natalie</cp:lastModifiedBy>
  <cp:revision>2</cp:revision>
  <dcterms:created xsi:type="dcterms:W3CDTF">2019-01-10T14:22:00Z</dcterms:created>
  <dcterms:modified xsi:type="dcterms:W3CDTF">2019-01-10T14:22:00Z</dcterms:modified>
</cp:coreProperties>
</file>